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B5C9" w14:textId="77777777" w:rsidR="00F64FBC" w:rsidRDefault="00F64FBC" w:rsidP="00F64FBC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 xml:space="preserve">Next Steps for </w:t>
      </w:r>
      <w:r>
        <w:rPr>
          <w:rFonts w:asciiTheme="minorHAnsi" w:hAnsiTheme="minorHAnsi"/>
          <w:b/>
          <w:bCs/>
          <w:color w:val="0070C0"/>
          <w:sz w:val="32"/>
          <w:szCs w:val="32"/>
        </w:rPr>
        <w:t>New (Initial and Change-of-Status)</w:t>
      </w:r>
    </w:p>
    <w:p w14:paraId="054FD6A3" w14:textId="77777777" w:rsidR="00F64FBC" w:rsidRDefault="00F64FBC" w:rsidP="00F64FBC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>F-1 International Student</w:t>
      </w:r>
    </w:p>
    <w:p w14:paraId="62E9CD01" w14:textId="77777777" w:rsidR="00F64FBC" w:rsidRPr="00944B9A" w:rsidRDefault="00F64FBC" w:rsidP="00F64FBC">
      <w:pPr>
        <w:pStyle w:val="Default"/>
        <w:jc w:val="center"/>
        <w:rPr>
          <w:rFonts w:asciiTheme="minorHAnsi" w:hAnsiTheme="minorHAnsi"/>
          <w:color w:val="0070C0"/>
          <w:sz w:val="32"/>
          <w:szCs w:val="32"/>
        </w:rPr>
      </w:pPr>
    </w:p>
    <w:p w14:paraId="3E6A9C7E" w14:textId="1B67D07F" w:rsidR="00F64FBC" w:rsidRPr="000D6919" w:rsidRDefault="00F64FBC" w:rsidP="00F64FBC">
      <w:pPr>
        <w:pStyle w:val="ListParagraph"/>
        <w:numPr>
          <w:ilvl w:val="0"/>
          <w:numId w:val="5"/>
        </w:numPr>
        <w:ind w:right="58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  <w:sz w:val="36"/>
          <w:szCs w:val="36"/>
        </w:rPr>
        <w:t>Step 1:</w:t>
      </w:r>
      <w:r w:rsidRPr="009F204C">
        <w:rPr>
          <w:rFonts w:asciiTheme="minorHAnsi" w:eastAsiaTheme="minorEastAsia" w:hAnsiTheme="minorHAnsi" w:cstheme="minorHAnsi"/>
          <w:color w:val="000000" w:themeColor="text1"/>
          <w:sz w:val="36"/>
          <w:szCs w:val="36"/>
        </w:rPr>
        <w:t xml:space="preserve">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  <w:sz w:val="36"/>
          <w:szCs w:val="36"/>
        </w:rPr>
        <w:t>F-1 Student Check-in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 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br/>
        <w:t xml:space="preserve">Upon arrival to Houston (or change-of-status approval),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virtually report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to the International Services and Programs (ISP) by </w:t>
      </w:r>
      <w:r w:rsidR="00AE440A">
        <w:rPr>
          <w:rFonts w:asciiTheme="minorHAnsi" w:eastAsiaTheme="minorEastAsia" w:hAnsiTheme="minorHAnsi" w:cstheme="minorHAnsi"/>
          <w:color w:val="000000" w:themeColor="text1"/>
        </w:rPr>
        <w:t xml:space="preserve">submitting the </w:t>
      </w:r>
      <w:r w:rsidR="00AE440A" w:rsidRPr="00AE440A">
        <w:rPr>
          <w:rFonts w:asciiTheme="minorHAnsi" w:eastAsiaTheme="minorEastAsia" w:hAnsiTheme="minorHAnsi" w:cstheme="minorHAnsi"/>
          <w:b/>
          <w:bCs/>
          <w:color w:val="000000" w:themeColor="text1"/>
          <w:u w:val="single"/>
        </w:rPr>
        <w:t>virtual Check-in Form</w:t>
      </w:r>
      <w:r w:rsidR="00AE440A">
        <w:rPr>
          <w:rFonts w:asciiTheme="minorHAnsi" w:eastAsiaTheme="minorEastAsia" w:hAnsiTheme="minorHAnsi" w:cstheme="minorHAnsi"/>
          <w:color w:val="000000" w:themeColor="text1"/>
        </w:rPr>
        <w:t xml:space="preserve"> listed on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the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ISP </w:t>
      </w:r>
      <w:hyperlink r:id="rId7" w:history="1">
        <w:r w:rsidRPr="00EF7C31">
          <w:rPr>
            <w:rStyle w:val="Hyperlink"/>
            <w:rFonts w:asciiTheme="minorHAnsi" w:eastAsiaTheme="minorEastAsia" w:hAnsiTheme="minorHAnsi" w:cstheme="minorHAnsi"/>
            <w:b/>
            <w:bCs/>
          </w:rPr>
          <w:t>Che</w:t>
        </w:r>
        <w:r w:rsidRPr="00EF7C31">
          <w:rPr>
            <w:rStyle w:val="Hyperlink"/>
            <w:rFonts w:asciiTheme="minorHAnsi" w:eastAsiaTheme="minorEastAsia" w:hAnsiTheme="minorHAnsi" w:cstheme="minorHAnsi"/>
            <w:b/>
            <w:bCs/>
          </w:rPr>
          <w:t>c</w:t>
        </w:r>
        <w:r w:rsidRPr="00EF7C31">
          <w:rPr>
            <w:rStyle w:val="Hyperlink"/>
            <w:rFonts w:asciiTheme="minorHAnsi" w:eastAsiaTheme="minorEastAsia" w:hAnsiTheme="minorHAnsi" w:cstheme="minorHAnsi"/>
            <w:b/>
            <w:bCs/>
          </w:rPr>
          <w:t>k-in website</w:t>
        </w:r>
      </w:hyperlink>
      <w:r w:rsidR="00AE440A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  <w:r w:rsidRPr="000D6919">
        <w:rPr>
          <w:rFonts w:asciiTheme="minorHAnsi" w:eastAsiaTheme="minorEastAsia" w:hAnsiTheme="minorHAnsi" w:cstheme="minorHAnsi"/>
          <w:b/>
          <w:bCs/>
          <w:color w:val="000000" w:themeColor="text1"/>
        </w:rPr>
        <w:t>F</w:t>
      </w:r>
      <w:r w:rsidR="00D705B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0D6919">
        <w:rPr>
          <w:rFonts w:asciiTheme="minorHAnsi" w:eastAsiaTheme="minorEastAsia" w:hAnsiTheme="minorHAnsi" w:cstheme="minorHAnsi"/>
          <w:b/>
          <w:bCs/>
          <w:color w:val="000000" w:themeColor="text1"/>
        </w:rPr>
        <w:t>- 1 students transferring from U.S. colleges are exempt from Check-in.</w:t>
      </w:r>
    </w:p>
    <w:p w14:paraId="1B0274A7" w14:textId="77777777" w:rsidR="00F64FBC" w:rsidRPr="009F204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</w:p>
    <w:p w14:paraId="4841ED34" w14:textId="77777777" w:rsidR="00F64FBC" w:rsidRPr="009F204C" w:rsidRDefault="00F64FBC" w:rsidP="00F64FBC">
      <w:pPr>
        <w:pStyle w:val="ListParagraph"/>
        <w:numPr>
          <w:ilvl w:val="0"/>
          <w:numId w:val="5"/>
        </w:numPr>
        <w:ind w:right="58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>Step 2: Meningitis Vaccination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bCs/>
        </w:rPr>
        <w:br/>
      </w:r>
      <w:r w:rsidRPr="009F204C">
        <w:rPr>
          <w:rFonts w:asciiTheme="minorHAnsi" w:hAnsiTheme="minorHAnsi" w:cstheme="minorHAnsi"/>
          <w:bCs/>
        </w:rPr>
        <w:t>If you are under 22 years old,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</w:rPr>
        <w:t xml:space="preserve">submit proof of </w:t>
      </w:r>
      <w:r w:rsidRPr="009F204C">
        <w:rPr>
          <w:rFonts w:asciiTheme="minorHAnsi" w:hAnsiTheme="minorHAnsi" w:cstheme="minorHAnsi"/>
          <w:b/>
          <w:bCs/>
        </w:rPr>
        <w:t>Meningitis Vaccination</w:t>
      </w:r>
      <w:r w:rsidRPr="009F204C">
        <w:rPr>
          <w:rFonts w:asciiTheme="minorHAnsi" w:hAnsiTheme="minorHAnsi" w:cstheme="minorHAnsi"/>
        </w:rPr>
        <w:t xml:space="preserve"> to the Admissions office at any HCC campus or scan your documentation and send it via email to</w:t>
      </w:r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Pr="009F204C">
          <w:rPr>
            <w:rStyle w:val="Hyperlink"/>
            <w:rFonts w:asciiTheme="minorHAnsi" w:hAnsiTheme="minorHAnsi" w:cstheme="minorHAnsi"/>
          </w:rPr>
          <w:t>vaccine@hccs.edu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. There are additional alternatives to submitting the proof on the following website: </w:t>
      </w:r>
      <w:hyperlink r:id="rId9" w:history="1">
        <w:r w:rsidRPr="009F204C">
          <w:rPr>
            <w:rStyle w:val="Hyperlink"/>
            <w:rFonts w:asciiTheme="minorHAnsi" w:hAnsiTheme="minorHAnsi" w:cstheme="minorHAnsi"/>
          </w:rPr>
          <w:t>https://www.hccs.edu/applying-and-paying/meningitis/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</w:p>
    <w:p w14:paraId="2435C91F" w14:textId="77777777" w:rsidR="00F64FBC" w:rsidRPr="009F204C" w:rsidRDefault="00F64FBC" w:rsidP="00F64FBC">
      <w:pPr>
        <w:rPr>
          <w:rFonts w:asciiTheme="minorHAnsi" w:hAnsiTheme="minorHAnsi" w:cstheme="minorHAnsi"/>
          <w:color w:val="000000" w:themeColor="text1"/>
        </w:rPr>
      </w:pPr>
    </w:p>
    <w:p w14:paraId="3E716CF3" w14:textId="77777777" w:rsidR="00F64FBC" w:rsidRPr="009F204C" w:rsidRDefault="00F64FBC" w:rsidP="00F64F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>Step 3: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Complete Checklist Items.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06D7315" w14:textId="7AAB61E0" w:rsidR="00F64FBC" w:rsidRPr="009F204C" w:rsidRDefault="00F64FBC" w:rsidP="00F64FBC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Log onto your student Homepage via </w:t>
      </w:r>
      <w:hyperlink r:id="rId10" w:history="1">
        <w:r w:rsidRPr="009F204C">
          <w:rPr>
            <w:rStyle w:val="Hyperlink"/>
            <w:rFonts w:asciiTheme="minorHAnsi" w:hAnsiTheme="minorHAnsi" w:cstheme="minorHAnsi"/>
          </w:rPr>
          <w:t>https://myeagle.hccs.edu</w:t>
        </w:r>
      </w:hyperlink>
      <w:r w:rsidRPr="009F204C">
        <w:rPr>
          <w:rFonts w:asciiTheme="minorHAnsi" w:hAnsiTheme="minorHAnsi" w:cstheme="minorHAnsi"/>
        </w:rPr>
        <w:t xml:space="preserve"> and </w:t>
      </w:r>
      <w:r w:rsidRPr="009F204C">
        <w:rPr>
          <w:rFonts w:asciiTheme="minorHAnsi" w:hAnsiTheme="minorHAnsi" w:cstheme="minorHAnsi"/>
          <w:b/>
        </w:rPr>
        <w:t>complete the Checklist items that prevent enrollment</w:t>
      </w:r>
      <w:r w:rsidRPr="009F204C">
        <w:rPr>
          <w:rFonts w:asciiTheme="minorHAnsi" w:hAnsiTheme="minorHAnsi" w:cstheme="minorHAnsi"/>
        </w:rPr>
        <w:t xml:space="preserve">: </w:t>
      </w:r>
      <w:r w:rsidRPr="009F204C">
        <w:rPr>
          <w:rFonts w:asciiTheme="minorHAnsi" w:hAnsiTheme="minorHAnsi" w:cstheme="minorHAnsi"/>
          <w:i/>
        </w:rPr>
        <w:t>Financial Responsibility; Residency Re-affirmation; Meningitis</w:t>
      </w:r>
      <w:r w:rsidRPr="009F204C">
        <w:rPr>
          <w:rFonts w:asciiTheme="minorHAnsi" w:hAnsiTheme="minorHAnsi" w:cstheme="minorHAnsi"/>
        </w:rPr>
        <w:t xml:space="preserve"> (if under 22 years of age); </w:t>
      </w:r>
      <w:r w:rsidRPr="004D13A1">
        <w:rPr>
          <w:rFonts w:asciiTheme="minorHAnsi" w:hAnsiTheme="minorHAnsi" w:cstheme="minorHAnsi"/>
          <w:i/>
          <w:iCs/>
        </w:rPr>
        <w:t>F-1 Onboarding</w:t>
      </w:r>
      <w:r w:rsidRPr="009F204C">
        <w:rPr>
          <w:rFonts w:asciiTheme="minorHAnsi" w:hAnsiTheme="minorHAnsi" w:cstheme="minorHAnsi"/>
        </w:rPr>
        <w:t xml:space="preserve">. </w:t>
      </w:r>
      <w:r w:rsidRPr="009F204C">
        <w:rPr>
          <w:rFonts w:asciiTheme="minorHAnsi" w:hAnsiTheme="minorHAnsi" w:cstheme="minorHAnsi"/>
          <w:b/>
        </w:rPr>
        <w:t>Negative holds</w:t>
      </w:r>
      <w:r w:rsidRPr="009F204C">
        <w:rPr>
          <w:rFonts w:asciiTheme="minorHAnsi" w:hAnsiTheme="minorHAnsi" w:cstheme="minorHAnsi"/>
        </w:rPr>
        <w:t xml:space="preserve"> like </w:t>
      </w:r>
      <w:r w:rsidRPr="009F204C">
        <w:rPr>
          <w:rFonts w:asciiTheme="minorHAnsi" w:hAnsiTheme="minorHAnsi" w:cstheme="minorHAnsi"/>
          <w:i/>
        </w:rPr>
        <w:t>Int’l Student Advisement</w:t>
      </w:r>
      <w:r w:rsidRPr="009F204C">
        <w:rPr>
          <w:rFonts w:asciiTheme="minorHAnsi" w:hAnsiTheme="minorHAnsi" w:cstheme="minorHAnsi"/>
        </w:rPr>
        <w:t xml:space="preserve">, </w:t>
      </w:r>
      <w:r w:rsidRPr="009F204C">
        <w:rPr>
          <w:rFonts w:asciiTheme="minorHAnsi" w:hAnsiTheme="minorHAnsi" w:cstheme="minorHAnsi"/>
          <w:i/>
        </w:rPr>
        <w:t xml:space="preserve">Bursar's </w:t>
      </w:r>
      <w:r w:rsidRPr="009F204C">
        <w:rPr>
          <w:rFonts w:asciiTheme="minorHAnsi" w:hAnsiTheme="minorHAnsi" w:cstheme="minorHAnsi"/>
        </w:rPr>
        <w:t>office,</w:t>
      </w:r>
      <w:r w:rsidRPr="009F204C">
        <w:rPr>
          <w:rFonts w:asciiTheme="minorHAnsi" w:hAnsiTheme="minorHAnsi" w:cstheme="minorHAnsi"/>
          <w:i/>
        </w:rPr>
        <w:t xml:space="preserve"> and ESL</w:t>
      </w:r>
      <w:r w:rsidRPr="009F204C">
        <w:rPr>
          <w:rFonts w:asciiTheme="minorHAnsi" w:hAnsiTheme="minorHAnsi" w:cstheme="minorHAnsi"/>
        </w:rPr>
        <w:t xml:space="preserve"> should be cleared before enrollment</w:t>
      </w:r>
      <w:r>
        <w:rPr>
          <w:rFonts w:asciiTheme="minorHAnsi" w:hAnsiTheme="minorHAnsi" w:cstheme="minorHAnsi"/>
        </w:rPr>
        <w:t xml:space="preserve"> with the relevant department (read details of the hold). </w:t>
      </w:r>
      <w:r w:rsidRPr="009F204C">
        <w:rPr>
          <w:rFonts w:asciiTheme="minorHAnsi" w:hAnsiTheme="minorHAnsi" w:cstheme="minorHAnsi"/>
        </w:rPr>
        <w:t xml:space="preserve"> </w:t>
      </w:r>
      <w:r w:rsidRPr="009F204C">
        <w:rPr>
          <w:rFonts w:asciiTheme="minorHAnsi" w:hAnsiTheme="minorHAnsi" w:cstheme="minorHAnsi"/>
          <w:b/>
        </w:rPr>
        <w:t>Positive holds</w:t>
      </w:r>
      <w:r w:rsidRPr="009F204C">
        <w:rPr>
          <w:rFonts w:asciiTheme="minorHAnsi" w:hAnsiTheme="minorHAnsi" w:cstheme="minorHAnsi"/>
        </w:rPr>
        <w:t xml:space="preserve"> like “</w:t>
      </w:r>
      <w:r w:rsidRPr="009F204C">
        <w:rPr>
          <w:rFonts w:asciiTheme="minorHAnsi" w:hAnsiTheme="minorHAnsi" w:cstheme="minorHAnsi"/>
          <w:b/>
          <w:i/>
          <w:color w:val="00B050"/>
        </w:rPr>
        <w:t>F-1 student”</w:t>
      </w:r>
      <w:r w:rsidRPr="009F204C">
        <w:rPr>
          <w:rFonts w:asciiTheme="minorHAnsi" w:hAnsiTheme="minorHAnsi" w:cstheme="minorHAnsi"/>
          <w:b/>
          <w:color w:val="00B050"/>
        </w:rPr>
        <w:t xml:space="preserve"> </w:t>
      </w:r>
      <w:r w:rsidRPr="009F204C">
        <w:rPr>
          <w:rFonts w:asciiTheme="minorHAnsi" w:hAnsiTheme="minorHAnsi" w:cstheme="minorHAnsi"/>
        </w:rPr>
        <w:t xml:space="preserve">do not affect enrollment. </w:t>
      </w:r>
      <w:r>
        <w:rPr>
          <w:rFonts w:asciiTheme="minorHAnsi" w:hAnsiTheme="minorHAnsi" w:cstheme="minorHAnsi"/>
        </w:rPr>
        <w:t>For additional information, review</w:t>
      </w:r>
      <w:r w:rsidR="00687EE6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EF7C31">
          <w:rPr>
            <w:rStyle w:val="Hyperlink"/>
            <w:rFonts w:asciiTheme="minorHAnsi" w:hAnsiTheme="minorHAnsi" w:cstheme="minorHAnsi"/>
          </w:rPr>
          <w:t>Checklist Completion Video</w:t>
        </w:r>
      </w:hyperlink>
      <w:r>
        <w:rPr>
          <w:rFonts w:asciiTheme="minorHAnsi" w:hAnsiTheme="minorHAnsi" w:cstheme="minorHAnsi"/>
        </w:rPr>
        <w:t>.</w:t>
      </w:r>
    </w:p>
    <w:p w14:paraId="5BEA5174" w14:textId="77777777" w:rsidR="00F64FBC" w:rsidRPr="009F204C" w:rsidRDefault="00F64FBC" w:rsidP="00F64FBC">
      <w:pPr>
        <w:rPr>
          <w:rFonts w:asciiTheme="minorHAnsi" w:hAnsiTheme="minorHAnsi" w:cstheme="minorHAnsi"/>
        </w:rPr>
      </w:pPr>
    </w:p>
    <w:p w14:paraId="4743A8E8" w14:textId="77777777" w:rsidR="00F64FBC" w:rsidRPr="009F204C" w:rsidRDefault="00F64FBC" w:rsidP="00F64F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4</w:t>
      </w:r>
      <w:r w:rsidRPr="009F204C">
        <w:rPr>
          <w:rFonts w:asciiTheme="minorHAnsi" w:hAnsiTheme="minorHAnsi" w:cstheme="minorHAnsi"/>
          <w:b/>
          <w:sz w:val="36"/>
          <w:szCs w:val="36"/>
        </w:rPr>
        <w:t>: Testing Authorization</w:t>
      </w:r>
      <w:r>
        <w:rPr>
          <w:rFonts w:asciiTheme="minorHAnsi" w:hAnsiTheme="minorHAnsi" w:cstheme="minorHAnsi"/>
          <w:b/>
          <w:sz w:val="36"/>
          <w:szCs w:val="36"/>
        </w:rPr>
        <w:t xml:space="preserve"> and Transcripts</w:t>
      </w:r>
      <w:r w:rsidRPr="009F20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9B396FD" w14:textId="77777777" w:rsidR="00F64FBC" w:rsidRPr="009F204C" w:rsidRDefault="00F64FBC" w:rsidP="00F64FB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Meet with</w:t>
      </w:r>
      <w:r w:rsidRPr="009F204C">
        <w:rPr>
          <w:rFonts w:asciiTheme="minorHAnsi" w:hAnsiTheme="minorHAnsi" w:cstheme="minorHAnsi"/>
          <w:bCs/>
        </w:rPr>
        <w:t xml:space="preserve"> </w:t>
      </w:r>
      <w:r w:rsidRPr="0011389D">
        <w:rPr>
          <w:rFonts w:asciiTheme="minorHAnsi" w:hAnsiTheme="minorHAnsi" w:cstheme="minorHAnsi"/>
          <w:b/>
        </w:rPr>
        <w:t>Enrollment Services</w:t>
      </w:r>
      <w:r w:rsidRPr="009F204C">
        <w:rPr>
          <w:rFonts w:asciiTheme="minorHAnsi" w:hAnsiTheme="minorHAnsi" w:cstheme="minorHAnsi"/>
          <w:bCs/>
        </w:rPr>
        <w:t xml:space="preserve"> on an HCC campus or via the HCC Virtual Lobby </w:t>
      </w:r>
      <w:hyperlink r:id="rId12" w:history="1">
        <w:r w:rsidRPr="009F204C">
          <w:rPr>
            <w:rStyle w:val="Hyperlink"/>
            <w:rFonts w:asciiTheme="minorHAnsi" w:hAnsiTheme="minorHAnsi" w:cstheme="minorHAnsi"/>
            <w:bCs/>
          </w:rPr>
          <w:t>www.hccs.edu/virtual-lobby</w:t>
        </w:r>
      </w:hyperlink>
      <w:r w:rsidRPr="009F204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to receive testing authorization</w:t>
      </w:r>
      <w:r>
        <w:rPr>
          <w:rFonts w:asciiTheme="minorHAnsi" w:hAnsiTheme="minorHAnsi" w:cstheme="minorHAnsi"/>
          <w:b/>
          <w:bCs/>
        </w:rPr>
        <w:t>.</w:t>
      </w:r>
      <w:r w:rsidRPr="009F20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9F204C">
        <w:rPr>
          <w:rFonts w:asciiTheme="minorHAnsi" w:hAnsiTheme="minorHAnsi" w:cstheme="minorHAnsi"/>
        </w:rPr>
        <w:t xml:space="preserve">ay the testing fee at the cashier’s office on campus or via your HCC </w:t>
      </w:r>
      <w:proofErr w:type="gramStart"/>
      <w:r w:rsidRPr="009F204C">
        <w:rPr>
          <w:rFonts w:asciiTheme="minorHAnsi" w:hAnsiTheme="minorHAnsi" w:cstheme="minorHAnsi"/>
        </w:rPr>
        <w:t>portal, and</w:t>
      </w:r>
      <w:proofErr w:type="gramEnd"/>
      <w:r w:rsidRPr="009F204C">
        <w:rPr>
          <w:rFonts w:asciiTheme="minorHAnsi" w:hAnsiTheme="minorHAnsi" w:cstheme="minorHAnsi"/>
        </w:rPr>
        <w:t xml:space="preserve"> bring the receipt to the testing center on campus to take the exam. Make sure to have a photo ID to present before taking the test. </w:t>
      </w:r>
      <w:hyperlink r:id="rId13" w:history="1">
        <w:r w:rsidRPr="009F204C">
          <w:rPr>
            <w:rFonts w:asciiTheme="minorHAnsi" w:hAnsiTheme="minorHAnsi" w:cstheme="minorHAnsi"/>
            <w:color w:val="0000FF"/>
            <w:u w:val="single"/>
          </w:rPr>
          <w:t>https://www.hccs.edu/resources-for/current-students/testing-services/</w:t>
        </w:r>
      </w:hyperlink>
    </w:p>
    <w:p w14:paraId="49B41F0F" w14:textId="77777777" w:rsidR="00F64FBC" w:rsidRPr="009F204C" w:rsidRDefault="00F64FBC" w:rsidP="00F64FBC">
      <w:pPr>
        <w:pStyle w:val="ListParagraph"/>
        <w:tabs>
          <w:tab w:val="left" w:pos="1541"/>
          <w:tab w:val="left" w:pos="2539"/>
        </w:tabs>
        <w:spacing w:before="56"/>
        <w:ind w:right="580"/>
        <w:rPr>
          <w:rFonts w:asciiTheme="minorHAnsi" w:eastAsiaTheme="minorEastAsia" w:hAnsiTheme="minorHAnsi" w:cstheme="minorHAnsi"/>
          <w:b/>
          <w:bCs/>
        </w:rPr>
      </w:pPr>
    </w:p>
    <w:p w14:paraId="1E18504D" w14:textId="77777777" w:rsidR="00F64FBC" w:rsidRPr="009F204C" w:rsidRDefault="00F64FBC" w:rsidP="00F64FBC">
      <w:pPr>
        <w:spacing w:before="56"/>
        <w:ind w:left="720" w:right="580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</w:rPr>
        <w:t xml:space="preserve">You can find </w:t>
      </w:r>
      <w:r w:rsidRPr="009F204C">
        <w:rPr>
          <w:rFonts w:asciiTheme="minorHAnsi" w:eastAsiaTheme="minorEastAsia" w:hAnsiTheme="minorHAnsi" w:cstheme="minorHAnsi"/>
        </w:rPr>
        <w:t xml:space="preserve">more information about Testing and English proficiency on the following website: </w:t>
      </w:r>
      <w:hyperlink r:id="rId14" w:history="1">
        <w:r w:rsidRPr="009F204C">
          <w:rPr>
            <w:rStyle w:val="Hyperlink"/>
            <w:rFonts w:asciiTheme="minorHAnsi" w:eastAsiaTheme="minorEastAsia" w:hAnsiTheme="minorHAnsi" w:cstheme="minorHAnsi"/>
          </w:rPr>
          <w:t>https://www.hccs.edu/support-services/international-students/foreign-credentials/</w:t>
        </w:r>
      </w:hyperlink>
      <w:r w:rsidRPr="009F204C">
        <w:rPr>
          <w:rFonts w:asciiTheme="minorHAnsi" w:eastAsiaTheme="minorEastAsia" w:hAnsiTheme="minorHAnsi" w:cstheme="minorHAnsi"/>
        </w:rPr>
        <w:t xml:space="preserve">  Documents with passing English proficiency scores should be sent to HCC as instructed. Eva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luated foreign credentials or U.S transcripts should be sent to  </w:t>
      </w:r>
      <w:hyperlink r:id="rId15">
        <w:r w:rsidRPr="009F204C">
          <w:rPr>
            <w:rStyle w:val="Hyperlink"/>
            <w:rFonts w:asciiTheme="minorHAnsi" w:eastAsiaTheme="minorEastAsia" w:hAnsiTheme="minorHAnsi" w:cstheme="minorHAnsi"/>
          </w:rPr>
          <w:t>Transcripts | Houston Community College - HCC (hccs.edu)</w:t>
        </w:r>
      </w:hyperlink>
      <w:r w:rsidRPr="009F204C">
        <w:rPr>
          <w:rFonts w:asciiTheme="minorHAnsi" w:eastAsiaTheme="minorEastAsia" w:hAnsiTheme="minorHAnsi" w:cstheme="minorHAnsi"/>
        </w:rPr>
        <w:t xml:space="preserve">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>and addressed to HCC academic advisor</w:t>
      </w:r>
      <w:r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25CD6940" w14:textId="77777777" w:rsidR="00F64FBC" w:rsidRPr="007530DC" w:rsidRDefault="00F64FBC" w:rsidP="00F64FBC">
      <w:pPr>
        <w:ind w:left="720"/>
        <w:contextualSpacing/>
        <w:rPr>
          <w:rFonts w:asciiTheme="minorHAnsi" w:hAnsiTheme="minorHAnsi" w:cstheme="minorHAnsi"/>
        </w:rPr>
      </w:pPr>
    </w:p>
    <w:p w14:paraId="544B7678" w14:textId="77777777" w:rsidR="00F64FBC" w:rsidRPr="009F204C" w:rsidRDefault="00F64FBC" w:rsidP="00F64FBC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Register for classes</w:t>
      </w:r>
      <w:r w:rsidRPr="009F204C">
        <w:rPr>
          <w:rFonts w:asciiTheme="minorHAnsi" w:hAnsiTheme="minorHAnsi" w:cstheme="minorHAnsi"/>
          <w:sz w:val="36"/>
          <w:szCs w:val="36"/>
        </w:rPr>
        <w:t>.</w:t>
      </w:r>
      <w:r w:rsidRPr="009F204C">
        <w:rPr>
          <w:rFonts w:asciiTheme="minorHAnsi" w:hAnsiTheme="minorHAnsi" w:cstheme="minorHAnsi"/>
        </w:rPr>
        <w:t xml:space="preserve"> </w:t>
      </w:r>
    </w:p>
    <w:p w14:paraId="6E0CB89A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lastRenderedPageBreak/>
        <w:t>Students placed in ESL/</w:t>
      </w:r>
      <w:r w:rsidRPr="00786FE3">
        <w:rPr>
          <w:rFonts w:asciiTheme="minorHAnsi" w:hAnsiTheme="minorHAnsi" w:cstheme="minorHAnsi"/>
          <w:b/>
          <w:bCs/>
        </w:rPr>
        <w:t>Intensive English levels 0,1 and 2</w:t>
      </w:r>
      <w:r w:rsidRPr="009F204C">
        <w:rPr>
          <w:rFonts w:asciiTheme="minorHAnsi" w:hAnsiTheme="minorHAnsi" w:cstheme="minorHAnsi"/>
        </w:rPr>
        <w:t xml:space="preserve"> should contact the ESL department or their Zoom lobby for enrollment/registration. </w:t>
      </w:r>
      <w:hyperlink r:id="rId16" w:history="1">
        <w:r w:rsidRPr="009F204C">
          <w:rPr>
            <w:rFonts w:asciiTheme="minorHAnsi" w:hAnsiTheme="minorHAnsi" w:cstheme="minorHAnsi"/>
            <w:color w:val="0563C1"/>
            <w:u w:val="single"/>
          </w:rPr>
          <w:t>Click to learn more about CE-ESL services and support schedules</w:t>
        </w:r>
      </w:hyperlink>
      <w:r w:rsidRPr="009F204C">
        <w:rPr>
          <w:rFonts w:asciiTheme="minorHAnsi" w:hAnsiTheme="minorHAnsi" w:cstheme="minorHAnsi"/>
        </w:rPr>
        <w:t>.</w:t>
      </w:r>
    </w:p>
    <w:p w14:paraId="7912D212" w14:textId="640D1E1A" w:rsidR="00F64FBC" w:rsidRPr="009F204C" w:rsidRDefault="00F64FBC" w:rsidP="00F64FBC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>Students placed in ESL/</w:t>
      </w:r>
      <w:r w:rsidRPr="00786FE3">
        <w:rPr>
          <w:rFonts w:asciiTheme="minorHAnsi" w:hAnsiTheme="minorHAnsi" w:cstheme="minorHAnsi"/>
          <w:b/>
          <w:bCs/>
        </w:rPr>
        <w:t xml:space="preserve">Intensive English levels </w:t>
      </w:r>
      <w:r>
        <w:rPr>
          <w:rFonts w:asciiTheme="minorHAnsi" w:hAnsiTheme="minorHAnsi" w:cstheme="minorHAnsi"/>
          <w:b/>
          <w:bCs/>
        </w:rPr>
        <w:t xml:space="preserve">3 and 4 </w:t>
      </w:r>
      <w:r w:rsidRPr="00985105">
        <w:rPr>
          <w:rFonts w:asciiTheme="minorHAnsi" w:hAnsiTheme="minorHAnsi" w:cstheme="minorHAnsi"/>
        </w:rPr>
        <w:t>and all</w:t>
      </w:r>
      <w:r>
        <w:rPr>
          <w:rFonts w:asciiTheme="minorHAnsi" w:hAnsiTheme="minorHAnsi" w:cstheme="minorHAnsi"/>
          <w:b/>
          <w:bCs/>
        </w:rPr>
        <w:t xml:space="preserve"> academic-ready students</w:t>
      </w:r>
      <w:r>
        <w:rPr>
          <w:rFonts w:asciiTheme="minorHAnsi" w:hAnsiTheme="minorHAnsi" w:cstheme="minorHAnsi"/>
        </w:rPr>
        <w:t xml:space="preserve"> should meet with an </w:t>
      </w:r>
      <w:r w:rsidR="000E4453">
        <w:rPr>
          <w:rFonts w:asciiTheme="minorHAnsi" w:hAnsiTheme="minorHAnsi" w:cstheme="minorHAnsi"/>
        </w:rPr>
        <w:t>Enrollment Services</w:t>
      </w:r>
      <w:r w:rsidR="00CA5E5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Academic Advisor </w:t>
      </w:r>
      <w:hyperlink r:id="rId17" w:history="1">
        <w:r w:rsidRPr="00F71CE4">
          <w:rPr>
            <w:rStyle w:val="Hyperlink"/>
            <w:rFonts w:asciiTheme="minorHAnsi" w:hAnsiTheme="minorHAnsi" w:cstheme="minorHAnsi"/>
          </w:rPr>
          <w:t>on campus</w:t>
        </w:r>
      </w:hyperlink>
      <w:r>
        <w:rPr>
          <w:rFonts w:asciiTheme="minorHAnsi" w:hAnsiTheme="minorHAnsi" w:cstheme="minorHAnsi"/>
        </w:rPr>
        <w:t xml:space="preserve"> or </w:t>
      </w:r>
      <w:hyperlink r:id="rId18" w:history="1">
        <w:r w:rsidRPr="00F71CE4">
          <w:rPr>
            <w:rStyle w:val="Hyperlink"/>
            <w:rFonts w:asciiTheme="minorHAnsi" w:hAnsiTheme="minorHAnsi" w:cstheme="minorHAnsi"/>
          </w:rPr>
          <w:t>virtually</w:t>
        </w:r>
      </w:hyperlink>
      <w:r>
        <w:rPr>
          <w:rFonts w:asciiTheme="minorHAnsi" w:hAnsiTheme="minorHAnsi" w:cstheme="minorHAnsi"/>
        </w:rPr>
        <w:t xml:space="preserve"> about the classes </w:t>
      </w:r>
      <w:r w:rsidR="000A7F48">
        <w:rPr>
          <w:rFonts w:asciiTheme="minorHAnsi" w:hAnsiTheme="minorHAnsi" w:cstheme="minorHAnsi"/>
        </w:rPr>
        <w:t>they</w:t>
      </w:r>
      <w:r>
        <w:rPr>
          <w:rFonts w:asciiTheme="minorHAnsi" w:hAnsiTheme="minorHAnsi" w:cstheme="minorHAnsi"/>
        </w:rPr>
        <w:t xml:space="preserve"> need to take. For help with enrollment, please watch the </w:t>
      </w:r>
      <w:hyperlink r:id="rId19" w:history="1">
        <w:r w:rsidRPr="00985105">
          <w:rPr>
            <w:rStyle w:val="Hyperlink"/>
            <w:rFonts w:asciiTheme="minorHAnsi" w:hAnsiTheme="minorHAnsi" w:cstheme="minorHAnsi"/>
          </w:rPr>
          <w:t>Class Search and Enroll Video</w:t>
        </w:r>
      </w:hyperlink>
      <w:r>
        <w:rPr>
          <w:rFonts w:asciiTheme="minorHAnsi" w:hAnsiTheme="minorHAnsi" w:cstheme="minorHAnsi"/>
        </w:rPr>
        <w:t xml:space="preserve"> or download</w:t>
      </w:r>
      <w:r w:rsidR="000A7F48">
        <w:rPr>
          <w:rFonts w:asciiTheme="minorHAnsi" w:hAnsiTheme="minorHAnsi" w:cstheme="minorHAnsi"/>
        </w:rPr>
        <w:t xml:space="preserve"> </w:t>
      </w:r>
      <w:r w:rsidRPr="009F204C">
        <w:rPr>
          <w:rFonts w:asciiTheme="minorHAnsi" w:hAnsiTheme="minorHAnsi" w:cstheme="minorHAnsi"/>
        </w:rPr>
        <w:t xml:space="preserve">the </w:t>
      </w:r>
      <w:r w:rsidRPr="009F204C">
        <w:rPr>
          <w:rFonts w:asciiTheme="minorHAnsi" w:hAnsiTheme="minorHAnsi" w:cstheme="minorHAnsi"/>
          <w:color w:val="0070C0"/>
        </w:rPr>
        <w:t xml:space="preserve">PDF tutorial:  </w:t>
      </w:r>
      <w:hyperlink r:id="rId20" w:history="1">
        <w:r w:rsidRPr="009F204C">
          <w:rPr>
            <w:rFonts w:asciiTheme="minorHAnsi" w:hAnsiTheme="minorHAnsi" w:cstheme="minorHAnsi"/>
            <w:color w:val="0563C1"/>
            <w:u w:val="single"/>
          </w:rPr>
          <w:t>How to search and enroll in classes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>.</w:t>
      </w:r>
    </w:p>
    <w:p w14:paraId="6211EC8E" w14:textId="77777777" w:rsidR="00F64FBC" w:rsidRPr="009F204C" w:rsidRDefault="00F64FBC" w:rsidP="00F64FBC">
      <w:pPr>
        <w:spacing w:before="56"/>
        <w:ind w:left="720"/>
        <w:rPr>
          <w:rFonts w:asciiTheme="minorHAnsi" w:eastAsia="DengXian" w:hAnsiTheme="minorHAnsi" w:cstheme="minorHAnsi"/>
          <w:color w:val="FF0000"/>
        </w:rPr>
      </w:pPr>
      <w:r w:rsidRPr="009F204C">
        <w:rPr>
          <w:rFonts w:asciiTheme="minorHAnsi" w:eastAsia="DengXian" w:hAnsiTheme="minorHAnsi" w:cstheme="minorHAnsi"/>
          <w:b/>
          <w:bCs/>
          <w:color w:val="000000"/>
        </w:rPr>
        <w:t>Spring and Fall semesters</w:t>
      </w:r>
      <w:r w:rsidRPr="009F204C">
        <w:rPr>
          <w:rFonts w:asciiTheme="minorHAnsi" w:eastAsia="DengXian" w:hAnsiTheme="minorHAnsi" w:cstheme="minorHAnsi"/>
          <w:color w:val="000000"/>
        </w:rPr>
        <w:t xml:space="preserve"> - F-1 students must enroll in 12 credit hours, of which </w:t>
      </w:r>
      <w:r w:rsidRPr="009F204C">
        <w:rPr>
          <w:rFonts w:asciiTheme="minorHAnsi" w:eastAsia="DengXian" w:hAnsiTheme="minorHAnsi" w:cstheme="minorHAnsi"/>
          <w:color w:val="FF0000"/>
        </w:rPr>
        <w:t xml:space="preserve">only ONE (1) class can be 100% online. </w:t>
      </w:r>
      <w:r w:rsidRPr="009F204C">
        <w:rPr>
          <w:rFonts w:asciiTheme="minorHAnsi" w:eastAsia="DengXian" w:hAnsiTheme="minorHAnsi" w:cstheme="minorHAnsi"/>
        </w:rPr>
        <w:t xml:space="preserve">The remaining classes </w:t>
      </w:r>
      <w:r w:rsidRPr="009F204C">
        <w:rPr>
          <w:rFonts w:asciiTheme="minorHAnsi" w:eastAsia="DengXian" w:hAnsiTheme="minorHAnsi" w:cstheme="minorHAnsi"/>
          <w:color w:val="000000"/>
        </w:rPr>
        <w:t>must be in-person or hybrid classes.</w:t>
      </w:r>
      <w:r w:rsidRPr="009F204C">
        <w:rPr>
          <w:rFonts w:asciiTheme="minorHAnsi" w:eastAsia="DengXian" w:hAnsiTheme="minorHAnsi" w:cstheme="minorHAnsi"/>
          <w:color w:val="FF0000"/>
        </w:rPr>
        <w:t xml:space="preserve"> </w:t>
      </w:r>
    </w:p>
    <w:p w14:paraId="64ACF2B4" w14:textId="77777777" w:rsidR="00F64FBC" w:rsidRPr="009F204C" w:rsidRDefault="00F64FBC" w:rsidP="00F64FBC">
      <w:pPr>
        <w:spacing w:before="56"/>
        <w:ind w:left="720"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b/>
          <w:bCs/>
          <w:color w:val="000000"/>
        </w:rPr>
        <w:t xml:space="preserve">If </w:t>
      </w:r>
      <w:r w:rsidRPr="009F204C">
        <w:rPr>
          <w:rFonts w:asciiTheme="minorHAnsi" w:eastAsia="DengXian" w:hAnsiTheme="minorHAnsi" w:cstheme="minorHAnsi"/>
          <w:b/>
          <w:bCs/>
          <w:color w:val="000000"/>
        </w:rPr>
        <w:t>Summer</w:t>
      </w:r>
      <w:r w:rsidRPr="009F204C">
        <w:rPr>
          <w:rFonts w:asciiTheme="minorHAnsi" w:eastAsia="DengXian" w:hAnsiTheme="minorHAnsi" w:cstheme="minorHAnsi"/>
          <w:color w:val="000000"/>
        </w:rPr>
        <w:t xml:space="preserve"> is the </w:t>
      </w:r>
      <w:r w:rsidRPr="009F204C">
        <w:rPr>
          <w:rFonts w:asciiTheme="minorHAnsi" w:eastAsia="DengXian" w:hAnsiTheme="minorHAnsi" w:cstheme="minorHAnsi"/>
          <w:color w:val="000000"/>
          <w:u w:val="single"/>
        </w:rPr>
        <w:t>first semester of attendance</w:t>
      </w:r>
      <w:r w:rsidRPr="009F204C">
        <w:rPr>
          <w:rFonts w:asciiTheme="minorHAnsi" w:eastAsia="DengXian" w:hAnsiTheme="minorHAnsi" w:cstheme="minorHAnsi"/>
          <w:color w:val="000000"/>
        </w:rPr>
        <w:t xml:space="preserve">, F-1 students should enroll in 9 credit hours, of which </w:t>
      </w:r>
      <w:r w:rsidRPr="009F204C">
        <w:rPr>
          <w:rFonts w:asciiTheme="minorHAnsi" w:eastAsia="DengXian" w:hAnsiTheme="minorHAnsi" w:cstheme="minorHAnsi"/>
          <w:color w:val="FF0000"/>
        </w:rPr>
        <w:t>only ONE (1) class can be 100% online,</w:t>
      </w:r>
      <w:r w:rsidRPr="009F204C">
        <w:rPr>
          <w:rFonts w:asciiTheme="minorHAnsi" w:eastAsia="DengXian" w:hAnsiTheme="minorHAnsi" w:cstheme="minorHAnsi"/>
          <w:color w:val="000000"/>
        </w:rPr>
        <w:t xml:space="preserve"> and the rest must be in-person or hybrid classes. Summer enrollment is not required. It is considered vacation time if you are not enrolled. Students in the Intensive English program will be enrolled in cohort-based courses that do not allow mix-and-match of the classes. </w:t>
      </w:r>
    </w:p>
    <w:p w14:paraId="59E7CB8A" w14:textId="77777777" w:rsidR="00F64FBC" w:rsidRDefault="00F64FBC" w:rsidP="00F64FBC">
      <w:pPr>
        <w:ind w:left="720"/>
        <w:contextualSpacing/>
        <w:rPr>
          <w:rFonts w:asciiTheme="minorHAnsi" w:hAnsiTheme="minorHAnsi" w:cstheme="minorHAnsi"/>
          <w:b/>
          <w:bCs/>
          <w:i/>
        </w:rPr>
      </w:pPr>
    </w:p>
    <w:p w14:paraId="2C785968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i/>
        </w:rPr>
        <w:t>Not</w:t>
      </w:r>
      <w:r>
        <w:rPr>
          <w:rFonts w:asciiTheme="minorHAnsi" w:hAnsiTheme="minorHAnsi" w:cstheme="minorHAnsi"/>
          <w:b/>
          <w:bCs/>
          <w:i/>
        </w:rPr>
        <w:t>e for transfer students:</w:t>
      </w:r>
      <w:r w:rsidRPr="009F204C">
        <w:rPr>
          <w:rFonts w:asciiTheme="minorHAnsi" w:hAnsiTheme="minorHAnsi" w:cstheme="minorHAnsi"/>
        </w:rPr>
        <w:t xml:space="preserve"> If you have not received your HCC I-20 form yet, you do not need to wait for it to register for classes. You should receive the I-20 form within 30 days of the start of the classes. </w:t>
      </w:r>
    </w:p>
    <w:p w14:paraId="200AB051" w14:textId="77777777" w:rsidR="00F64FBC" w:rsidRPr="009F204C" w:rsidRDefault="00F64FBC" w:rsidP="00F64FBC">
      <w:pPr>
        <w:spacing w:before="56"/>
        <w:ind w:left="1440"/>
        <w:rPr>
          <w:rFonts w:asciiTheme="minorHAnsi" w:eastAsia="DengXian" w:hAnsiTheme="minorHAnsi" w:cstheme="minorHAnsi"/>
          <w:color w:val="000000"/>
        </w:rPr>
      </w:pPr>
    </w:p>
    <w:p w14:paraId="551ADC7B" w14:textId="4124627A" w:rsidR="00F64FBC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6</w:t>
      </w:r>
      <w:r w:rsidRPr="009F204C">
        <w:rPr>
          <w:rFonts w:asciiTheme="minorHAnsi" w:hAnsiTheme="minorHAnsi" w:cstheme="minorHAnsi"/>
          <w:b/>
          <w:sz w:val="36"/>
          <w:szCs w:val="36"/>
        </w:rPr>
        <w:t>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Pay for your classes.</w:t>
      </w:r>
      <w:r w:rsidRPr="009F204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Pr="009F204C">
        <w:rPr>
          <w:rFonts w:asciiTheme="minorHAnsi" w:hAnsiTheme="minorHAnsi" w:cstheme="minorHAnsi"/>
        </w:rPr>
        <w:t xml:space="preserve">Your sponsors can also pay for your classes from their home countries: </w:t>
      </w:r>
      <w:hyperlink r:id="rId21" w:history="1">
        <w:r w:rsidRPr="009F204C">
          <w:rPr>
            <w:rFonts w:asciiTheme="minorHAnsi" w:hAnsiTheme="minorHAnsi" w:cstheme="minorHAnsi"/>
            <w:b/>
            <w:color w:val="0563C1"/>
            <w:u w:val="single"/>
          </w:rPr>
          <w:t xml:space="preserve">International Payment Tutorial </w:t>
        </w:r>
      </w:hyperlink>
      <w:r w:rsidRPr="009F204C">
        <w:rPr>
          <w:rFonts w:asciiTheme="minorHAnsi" w:hAnsiTheme="minorHAnsi" w:cstheme="minorHAnsi"/>
        </w:rPr>
        <w:t xml:space="preserve">For government- or third-party sponsored students, go to </w:t>
      </w:r>
      <w:r w:rsidRPr="009F204C">
        <w:rPr>
          <w:rFonts w:asciiTheme="minorHAnsi" w:hAnsiTheme="minorHAnsi" w:cstheme="minorHAnsi"/>
          <w:b/>
        </w:rPr>
        <w:t xml:space="preserve">Payment and Scholarship Information </w:t>
      </w:r>
      <w:r w:rsidRPr="009F204C">
        <w:rPr>
          <w:rFonts w:asciiTheme="minorHAnsi" w:hAnsiTheme="minorHAnsi" w:cstheme="minorHAnsi"/>
        </w:rPr>
        <w:t xml:space="preserve">at </w:t>
      </w:r>
      <w:hyperlink r:id="rId22" w:history="1">
        <w:r w:rsidRPr="009F204C">
          <w:rPr>
            <w:rFonts w:asciiTheme="minorHAnsi" w:hAnsiTheme="minorHAnsi" w:cstheme="minorHAnsi"/>
            <w:color w:val="0563C1"/>
            <w:u w:val="single"/>
          </w:rPr>
          <w:t>https://www.hccs.edu/support-services/international-students/faqs/</w:t>
        </w:r>
      </w:hyperlink>
      <w:r w:rsidRPr="009F204C">
        <w:rPr>
          <w:rFonts w:asciiTheme="minorHAnsi" w:hAnsiTheme="minorHAnsi" w:cstheme="minorHAnsi"/>
        </w:rPr>
        <w:t xml:space="preserve"> </w:t>
      </w:r>
    </w:p>
    <w:p w14:paraId="4A183CAB" w14:textId="1DB439B1" w:rsidR="00AD1287" w:rsidRPr="009F204C" w:rsidRDefault="0056154F" w:rsidP="00AD1287">
      <w:pPr>
        <w:ind w:left="720"/>
        <w:contextualSpacing/>
        <w:rPr>
          <w:rFonts w:asciiTheme="minorHAnsi" w:hAnsiTheme="minorHAnsi" w:cstheme="minorHAnsi"/>
        </w:rPr>
      </w:pPr>
      <w:r w:rsidRPr="0056154F">
        <w:rPr>
          <w:rFonts w:asciiTheme="minorHAnsi" w:hAnsiTheme="minorHAnsi" w:cstheme="minorHAnsi"/>
        </w:rPr>
        <w:t xml:space="preserve">You can find more about </w:t>
      </w:r>
      <w:hyperlink r:id="rId23" w:history="1">
        <w:r w:rsidRPr="0056154F">
          <w:rPr>
            <w:rStyle w:val="Hyperlink"/>
            <w:rFonts w:asciiTheme="minorHAnsi" w:hAnsiTheme="minorHAnsi" w:cstheme="minorHAnsi"/>
          </w:rPr>
          <w:t>How to Make a Payment or Set Up Payment plan here.</w:t>
        </w:r>
      </w:hyperlink>
    </w:p>
    <w:p w14:paraId="02893859" w14:textId="77777777" w:rsidR="00F64FBC" w:rsidRPr="009F204C" w:rsidRDefault="00F64FBC" w:rsidP="00F64FBC">
      <w:pPr>
        <w:ind w:left="1440"/>
        <w:rPr>
          <w:rFonts w:asciiTheme="minorHAnsi" w:hAnsiTheme="minorHAnsi" w:cstheme="minorHAnsi"/>
        </w:rPr>
      </w:pPr>
    </w:p>
    <w:p w14:paraId="654363C1" w14:textId="77777777" w:rsidR="00F64FBC" w:rsidRPr="009F204C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  <w:bCs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 Student Health Insurance</w:t>
      </w:r>
      <w:r w:rsidRPr="009F204C">
        <w:rPr>
          <w:rFonts w:asciiTheme="minorHAnsi" w:hAnsiTheme="minorHAnsi" w:cstheme="minorHAnsi"/>
          <w:b/>
          <w:bCs/>
          <w:sz w:val="30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6"/>
        </w:rPr>
        <w:br/>
      </w:r>
      <w:r w:rsidRPr="009F204C">
        <w:rPr>
          <w:rFonts w:asciiTheme="minorHAnsi" w:hAnsiTheme="minorHAnsi" w:cstheme="minorHAnsi"/>
          <w:bCs/>
        </w:rPr>
        <w:t xml:space="preserve">F-1 international students will be automatically enrolled in HCC’s Student Health Insurance Plan. For more information about the plan and applying for a </w:t>
      </w:r>
      <w:r w:rsidRPr="009F204C">
        <w:rPr>
          <w:rFonts w:asciiTheme="minorHAnsi" w:hAnsiTheme="minorHAnsi" w:cstheme="minorHAnsi"/>
          <w:b/>
          <w:bCs/>
        </w:rPr>
        <w:t>waiver of coverage</w:t>
      </w:r>
      <w:r w:rsidRPr="009F204C">
        <w:rPr>
          <w:rFonts w:asciiTheme="minorHAnsi" w:hAnsiTheme="minorHAnsi" w:cstheme="minorHAnsi"/>
          <w:bCs/>
        </w:rPr>
        <w:t xml:space="preserve">, please visit </w:t>
      </w:r>
      <w:hyperlink r:id="rId24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http://www.hccs.edu/support-services/international-students/health-insurance/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 xml:space="preserve"> </w:t>
      </w:r>
    </w:p>
    <w:p w14:paraId="6556D082" w14:textId="77777777" w:rsidR="00F64FBC" w:rsidRPr="009F204C" w:rsidRDefault="00F64FBC" w:rsidP="00F64FBC">
      <w:pPr>
        <w:rPr>
          <w:rFonts w:asciiTheme="minorHAnsi" w:hAnsiTheme="minorHAnsi" w:cstheme="minorHAnsi"/>
        </w:rPr>
      </w:pPr>
    </w:p>
    <w:p w14:paraId="4E8A0390" w14:textId="77777777" w:rsidR="00F64FBC" w:rsidRPr="00E63624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36"/>
          <w:szCs w:val="36"/>
        </w:rPr>
      </w:pP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bCs/>
          <w:sz w:val="36"/>
          <w:szCs w:val="36"/>
        </w:rPr>
        <w:t>Mandatory Student Orientation</w:t>
      </w:r>
    </w:p>
    <w:p w14:paraId="1FB77A37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Attendance at the International Student Orientation is </w:t>
      </w:r>
      <w:r w:rsidRPr="009F204C">
        <w:rPr>
          <w:rFonts w:asciiTheme="minorHAnsi" w:hAnsiTheme="minorHAnsi" w:cstheme="minorHAnsi"/>
          <w:b/>
          <w:bCs/>
        </w:rPr>
        <w:t>MANDATORY</w:t>
      </w:r>
      <w:r w:rsidRPr="009F204C">
        <w:rPr>
          <w:rFonts w:asciiTheme="minorHAnsi" w:hAnsiTheme="minorHAnsi" w:cstheme="minorHAnsi"/>
        </w:rPr>
        <w:t xml:space="preserve">. Please visit </w:t>
      </w:r>
      <w:hyperlink r:id="rId25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http://www.hccs.edu/support-services/international-students/orientation/</w:t>
        </w:r>
      </w:hyperlink>
      <w:r w:rsidRPr="009F204C">
        <w:rPr>
          <w:rFonts w:asciiTheme="minorHAnsi" w:hAnsiTheme="minorHAnsi" w:cstheme="minorHAnsi"/>
        </w:rPr>
        <w:t xml:space="preserve"> for more information.</w:t>
      </w:r>
    </w:p>
    <w:p w14:paraId="5CD84DB8" w14:textId="77777777" w:rsidR="00F64FBC" w:rsidRPr="00ED7F17" w:rsidRDefault="00F64FBC" w:rsidP="00F64FBC">
      <w:pPr>
        <w:jc w:val="both"/>
        <w:rPr>
          <w:rFonts w:cs="Arial"/>
        </w:rPr>
      </w:pPr>
    </w:p>
    <w:p w14:paraId="712A7F75" w14:textId="3B3A76F9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>Don't wait for the Mandatory International Orientation</w:t>
      </w:r>
      <w:r w:rsidR="00ED0177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>to enroll in classes!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Classes </w:t>
      </w:r>
      <w:r>
        <w:rPr>
          <w:rFonts w:asciiTheme="minorHAnsi" w:eastAsiaTheme="minorEastAsia" w:hAnsiTheme="minorHAnsi" w:cstheme="minorBidi"/>
          <w:color w:val="000000" w:themeColor="text1"/>
        </w:rPr>
        <w:t>are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filling up quickly</w:t>
      </w:r>
      <w:r w:rsidR="0069392B">
        <w:rPr>
          <w:rFonts w:asciiTheme="minorHAnsi" w:eastAsiaTheme="minorEastAsia" w:hAnsiTheme="minorHAnsi" w:cstheme="minorBidi"/>
          <w:color w:val="000000" w:themeColor="text1"/>
        </w:rPr>
        <w:t>!</w:t>
      </w:r>
    </w:p>
    <w:p w14:paraId="06688FC3" w14:textId="77777777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</w:p>
    <w:p w14:paraId="745FE0D0" w14:textId="1B8294AE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Congratulations on completing the </w:t>
      </w:r>
      <w:r w:rsidR="00FD66D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enrollment process </w:t>
      </w: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at HCC!</w:t>
      </w:r>
    </w:p>
    <w:p w14:paraId="1D407583" w14:textId="77777777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D6900C0" w14:textId="1468877B" w:rsidR="00D30635" w:rsidRPr="004D13A1" w:rsidRDefault="00F64FBC" w:rsidP="004D13A1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Resources you should know about: </w:t>
      </w:r>
      <w:r w:rsidR="00414425" w:rsidRPr="00414425">
        <w:rPr>
          <w:rFonts w:asciiTheme="minorHAnsi" w:hAnsiTheme="minorHAnsi" w:cstheme="minorHAnsi"/>
          <w:bCs/>
        </w:rPr>
        <w:t>After registering and paying for classes, you will receive your "continuing attendance" I-20 within 15 days of the start of classes. This I-20 will enable you to apply for a new or renewed Texas Driver's License or Texas Identification card (ID).</w:t>
      </w:r>
      <w:r w:rsidRPr="009F204C">
        <w:rPr>
          <w:rFonts w:asciiTheme="minorHAnsi" w:hAnsiTheme="minorHAnsi" w:cstheme="minorHAnsi"/>
          <w:bCs/>
        </w:rPr>
        <w:t xml:space="preserve"> Please visit </w:t>
      </w:r>
      <w:hyperlink r:id="rId26" w:history="1">
        <w:r w:rsidRPr="009F204C">
          <w:rPr>
            <w:rStyle w:val="Hyperlink"/>
            <w:rFonts w:asciiTheme="minorHAnsi" w:hAnsiTheme="minorHAnsi" w:cstheme="minorHAnsi"/>
            <w:bCs/>
          </w:rPr>
          <w:t>https://www.hccs.edu/support-service/international-students/faqs/</w:t>
        </w:r>
      </w:hyperlink>
      <w:r w:rsidRPr="009F204C">
        <w:rPr>
          <w:rFonts w:asciiTheme="minorHAnsi" w:hAnsiTheme="minorHAnsi" w:cstheme="minorHAnsi"/>
          <w:bCs/>
        </w:rPr>
        <w:t xml:space="preserve">   </w:t>
      </w:r>
    </w:p>
    <w:sectPr w:rsidR="00D30635" w:rsidRPr="004D13A1" w:rsidSect="00190B6C">
      <w:headerReference w:type="first" r:id="rId27"/>
      <w:footerReference w:type="first" r:id="rId28"/>
      <w:pgSz w:w="12240" w:h="15840" w:code="1"/>
      <w:pgMar w:top="1440" w:right="720" w:bottom="1440" w:left="720" w:header="144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4F536" w14:textId="77777777" w:rsidR="0048757E" w:rsidRDefault="0048757E">
      <w:r>
        <w:separator/>
      </w:r>
    </w:p>
  </w:endnote>
  <w:endnote w:type="continuationSeparator" w:id="0">
    <w:p w14:paraId="43ADB407" w14:textId="77777777" w:rsidR="0048757E" w:rsidRDefault="004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Tw Cen MT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Avenir Heavy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5C00" w14:textId="77777777" w:rsidR="000D1DBA" w:rsidRDefault="0000000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ED5872D" wp14:editId="20AFAFDA">
          <wp:simplePos x="0" y="0"/>
          <wp:positionH relativeFrom="column">
            <wp:posOffset>-459871</wp:posOffset>
          </wp:positionH>
          <wp:positionV relativeFrom="page">
            <wp:posOffset>8945558</wp:posOffset>
          </wp:positionV>
          <wp:extent cx="7771130" cy="1102792"/>
          <wp:effectExtent l="0" t="0" r="1270" b="2540"/>
          <wp:wrapNone/>
          <wp:docPr id="1913388190" name="Picture 1913388190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88190" name="Picture 1913388190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33" b="1"/>
                  <a:stretch/>
                </pic:blipFill>
                <pic:spPr bwMode="auto">
                  <a:xfrm>
                    <a:off x="0" y="0"/>
                    <a:ext cx="7771130" cy="1102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A9F3D" w14:textId="77777777" w:rsidR="0048757E" w:rsidRDefault="0048757E">
      <w:r>
        <w:separator/>
      </w:r>
    </w:p>
  </w:footnote>
  <w:footnote w:type="continuationSeparator" w:id="0">
    <w:p w14:paraId="55C0CA59" w14:textId="77777777" w:rsidR="0048757E" w:rsidRDefault="0048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4331" w14:textId="05062E74" w:rsidR="000D1DBA" w:rsidRDefault="00C579CB" w:rsidP="00190B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8D970" wp14:editId="1EBE4913">
              <wp:simplePos x="0" y="0"/>
              <wp:positionH relativeFrom="column">
                <wp:posOffset>3819525</wp:posOffset>
              </wp:positionH>
              <wp:positionV relativeFrom="paragraph">
                <wp:posOffset>-5715</wp:posOffset>
              </wp:positionV>
              <wp:extent cx="3059430" cy="380365"/>
              <wp:effectExtent l="0" t="0" r="0" b="0"/>
              <wp:wrapNone/>
              <wp:docPr id="10371253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943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CA9B1" w14:textId="77777777" w:rsidR="000D1DBA" w:rsidRDefault="00000000" w:rsidP="00190B6C">
                          <w:pPr>
                            <w:pStyle w:val="TitleAddress"/>
                            <w:spacing w:after="0"/>
                          </w:pPr>
                          <w:r>
                            <w:t>3200 C Main St, Houston, TX 77002</w:t>
                          </w:r>
                        </w:p>
                        <w:p w14:paraId="5D36C55D" w14:textId="77777777" w:rsidR="000D1DBA" w:rsidRPr="00F82BEC" w:rsidRDefault="00000000" w:rsidP="00190B6C">
                          <w:pPr>
                            <w:jc w:val="right"/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 w:rsidRPr="00F82BE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hccs.edu</w:t>
                          </w:r>
                          <w: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/international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8D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5pt;margin-top:-.45pt;width:240.9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" filled="f" stroked="f" strokeweight=".5pt">
              <v:textbox>
                <w:txbxContent>
                  <w:p w14:paraId="47ECA9B1" w14:textId="77777777" w:rsidR="000D1DBA" w:rsidRDefault="009D010C" w:rsidP="00190B6C">
                    <w:pPr>
                      <w:pStyle w:val="TitleAddress"/>
                      <w:spacing w:after="0"/>
                    </w:pPr>
                    <w:r>
                      <w:t>3200 C Main St, Houston, TX 77002</w:t>
                    </w:r>
                  </w:p>
                  <w:p w14:paraId="5D36C55D" w14:textId="77777777" w:rsidR="000D1DBA" w:rsidRPr="00F82BEC" w:rsidRDefault="009D010C" w:rsidP="00190B6C">
                    <w:pPr>
                      <w:jc w:val="right"/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 w:rsidRPr="00F82BEC">
                      <w:rPr>
                        <w:rFonts w:ascii="Avenir Heavy" w:hAnsi="Avenir Heavy"/>
                        <w:sz w:val="16"/>
                        <w:szCs w:val="16"/>
                      </w:rPr>
                      <w:t>hccs.edu</w:t>
                    </w:r>
                    <w:r>
                      <w:rPr>
                        <w:rFonts w:ascii="Avenir Heavy" w:hAnsi="Avenir Heavy"/>
                        <w:sz w:val="16"/>
                        <w:szCs w:val="16"/>
                      </w:rPr>
                      <w:t>/international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B1D67" wp14:editId="694702B8">
              <wp:simplePos x="0" y="0"/>
              <wp:positionH relativeFrom="column">
                <wp:posOffset>2023745</wp:posOffset>
              </wp:positionH>
              <wp:positionV relativeFrom="paragraph">
                <wp:posOffset>-351790</wp:posOffset>
              </wp:positionV>
              <wp:extent cx="4926330" cy="319405"/>
              <wp:effectExtent l="0" t="0" r="0" b="0"/>
              <wp:wrapNone/>
              <wp:docPr id="16782740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6330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1027D1" w14:textId="77777777" w:rsidR="000D1DBA" w:rsidRPr="006D1B3C" w:rsidRDefault="00000000" w:rsidP="00190B6C">
                          <w:pPr>
                            <w:pStyle w:val="Name"/>
                            <w:rPr>
                              <w:szCs w:val="21"/>
                            </w:rPr>
                          </w:pPr>
                          <w:r>
                            <w:rPr>
                              <w:sz w:val="22"/>
                              <w:szCs w:val="24"/>
                            </w:rPr>
                            <w:t>International Services and</w:t>
                          </w:r>
                          <w:r w:rsidRPr="006D1B3C">
                            <w:rPr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4"/>
                            </w:rPr>
                            <w:t>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9B1D67" id="Text Box 1" o:spid="_x0000_s1027" type="#_x0000_t202" style="position:absolute;margin-left:159.35pt;margin-top:-27.7pt;width:387.9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ibJwIAAEw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" filled="f" stroked="f" strokeweight=".5pt">
              <v:textbox>
                <w:txbxContent>
                  <w:p w14:paraId="0A1027D1" w14:textId="77777777" w:rsidR="000D1DBA" w:rsidRPr="006D1B3C" w:rsidRDefault="009D010C" w:rsidP="00190B6C">
                    <w:pPr>
                      <w:pStyle w:val="Name"/>
                      <w:rPr>
                        <w:szCs w:val="21"/>
                      </w:rPr>
                    </w:pPr>
                    <w:r>
                      <w:rPr>
                        <w:sz w:val="22"/>
                        <w:szCs w:val="24"/>
                      </w:rPr>
                      <w:t>International Services and</w:t>
                    </w:r>
                    <w:r w:rsidRPr="006D1B3C">
                      <w:rPr>
                        <w:sz w:val="22"/>
                        <w:szCs w:val="24"/>
                      </w:rPr>
                      <w:t xml:space="preserve"> </w:t>
                    </w:r>
                    <w:r>
                      <w:rPr>
                        <w:sz w:val="22"/>
                        <w:szCs w:val="24"/>
                      </w:rPr>
                      <w:t>Programs</w:t>
                    </w:r>
                  </w:p>
                </w:txbxContent>
              </v:textbox>
            </v:shape>
          </w:pict>
        </mc:Fallback>
      </mc:AlternateContent>
    </w:r>
    <w:r w:rsidR="00F64FBC">
      <w:rPr>
        <w:noProof/>
      </w:rPr>
      <w:drawing>
        <wp:anchor distT="0" distB="0" distL="114300" distR="114300" simplePos="0" relativeHeight="251659264" behindDoc="0" locked="0" layoutInCell="1" hidden="0" allowOverlap="1" wp14:anchorId="2D06540A" wp14:editId="66D2C4D2">
          <wp:simplePos x="0" y="0"/>
          <wp:positionH relativeFrom="column">
            <wp:posOffset>-457200</wp:posOffset>
          </wp:positionH>
          <wp:positionV relativeFrom="page">
            <wp:posOffset>-17253</wp:posOffset>
          </wp:positionV>
          <wp:extent cx="7768436" cy="1087501"/>
          <wp:effectExtent l="0" t="0" r="4445" b="0"/>
          <wp:wrapNone/>
          <wp:docPr id="135658172" name="Picture 135658172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8172" name="Picture 135658172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" r="5" b="89183"/>
                  <a:stretch/>
                </pic:blipFill>
                <pic:spPr bwMode="auto">
                  <a:xfrm>
                    <a:off x="0" y="0"/>
                    <a:ext cx="7768436" cy="108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81B00D" w14:textId="77777777" w:rsidR="000D1DBA" w:rsidRDefault="000D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4F0"/>
    <w:multiLevelType w:val="hybridMultilevel"/>
    <w:tmpl w:val="3AA2D56E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79C"/>
    <w:multiLevelType w:val="hybridMultilevel"/>
    <w:tmpl w:val="DBE6B02E"/>
    <w:lvl w:ilvl="0" w:tplc="779E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D58CE558">
      <w:start w:val="6"/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1AB"/>
    <w:multiLevelType w:val="hybridMultilevel"/>
    <w:tmpl w:val="A59E38F2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3E3B"/>
    <w:multiLevelType w:val="hybridMultilevel"/>
    <w:tmpl w:val="D5D851A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D470E"/>
    <w:multiLevelType w:val="hybridMultilevel"/>
    <w:tmpl w:val="853021F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9857">
    <w:abstractNumId w:val="3"/>
  </w:num>
  <w:num w:numId="2" w16cid:durableId="520706190">
    <w:abstractNumId w:val="2"/>
  </w:num>
  <w:num w:numId="3" w16cid:durableId="32463411">
    <w:abstractNumId w:val="4"/>
  </w:num>
  <w:num w:numId="4" w16cid:durableId="286084916">
    <w:abstractNumId w:val="0"/>
  </w:num>
  <w:num w:numId="5" w16cid:durableId="86201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C"/>
    <w:rsid w:val="000A7F48"/>
    <w:rsid w:val="000D1DBA"/>
    <w:rsid w:val="000D6919"/>
    <w:rsid w:val="000E4453"/>
    <w:rsid w:val="002D683C"/>
    <w:rsid w:val="002D720A"/>
    <w:rsid w:val="00341106"/>
    <w:rsid w:val="00383465"/>
    <w:rsid w:val="003962A5"/>
    <w:rsid w:val="003D5FB9"/>
    <w:rsid w:val="004031B8"/>
    <w:rsid w:val="0040653F"/>
    <w:rsid w:val="00414425"/>
    <w:rsid w:val="0048757E"/>
    <w:rsid w:val="004D13A1"/>
    <w:rsid w:val="004D4654"/>
    <w:rsid w:val="0056154F"/>
    <w:rsid w:val="00687EE6"/>
    <w:rsid w:val="0069392B"/>
    <w:rsid w:val="006F19A2"/>
    <w:rsid w:val="00724109"/>
    <w:rsid w:val="00747216"/>
    <w:rsid w:val="0077492A"/>
    <w:rsid w:val="00805A1C"/>
    <w:rsid w:val="00830A25"/>
    <w:rsid w:val="00A07328"/>
    <w:rsid w:val="00A30CC2"/>
    <w:rsid w:val="00AA00CC"/>
    <w:rsid w:val="00AD1287"/>
    <w:rsid w:val="00AE440A"/>
    <w:rsid w:val="00B9229D"/>
    <w:rsid w:val="00C02E56"/>
    <w:rsid w:val="00C579CB"/>
    <w:rsid w:val="00CA5E56"/>
    <w:rsid w:val="00CC206B"/>
    <w:rsid w:val="00D30316"/>
    <w:rsid w:val="00D30635"/>
    <w:rsid w:val="00D705B7"/>
    <w:rsid w:val="00DF5624"/>
    <w:rsid w:val="00ED0177"/>
    <w:rsid w:val="00F64FBC"/>
    <w:rsid w:val="00F90B38"/>
    <w:rsid w:val="00FC771F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6B62"/>
  <w15:chartTrackingRefBased/>
  <w15:docId w15:val="{5B1392A9-D0EF-406C-BCF2-C4236D5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BC"/>
    <w:pPr>
      <w:spacing w:after="0" w:line="240" w:lineRule="auto"/>
    </w:pPr>
    <w:rPr>
      <w:rFonts w:ascii="Avenir Book" w:eastAsia="Calibri" w:hAnsi="Avenir Book" w:cs="Calibri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FBC"/>
    <w:rPr>
      <w:rFonts w:ascii="Avenir Book" w:eastAsia="Calibri" w:hAnsi="Avenir Book" w:cs="Calibri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FBC"/>
    <w:rPr>
      <w:rFonts w:ascii="Avenir Book" w:eastAsia="Calibri" w:hAnsi="Avenir Book" w:cs="Calibri"/>
      <w:kern w:val="0"/>
      <w:sz w:val="24"/>
      <w:szCs w:val="24"/>
      <w:lang w:eastAsia="en-US"/>
    </w:rPr>
  </w:style>
  <w:style w:type="paragraph" w:customStyle="1" w:styleId="Name">
    <w:name w:val="Name"/>
    <w:basedOn w:val="Normal"/>
    <w:uiPriority w:val="99"/>
    <w:rsid w:val="00F64FBC"/>
    <w:pPr>
      <w:tabs>
        <w:tab w:val="right" w:pos="1266"/>
        <w:tab w:val="right" w:pos="1481"/>
      </w:tabs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Avenir Heavy" w:hAnsi="Avenir Heavy" w:cs="Avenir Heavy"/>
      <w:color w:val="000000"/>
      <w:sz w:val="20"/>
      <w:szCs w:val="20"/>
    </w:rPr>
  </w:style>
  <w:style w:type="paragraph" w:customStyle="1" w:styleId="TitleAddress">
    <w:name w:val="Title/Address"/>
    <w:basedOn w:val="Name"/>
    <w:uiPriority w:val="99"/>
    <w:rsid w:val="00F64FBC"/>
    <w:pPr>
      <w:spacing w:after="180"/>
    </w:pPr>
    <w:rPr>
      <w:rFonts w:ascii="Avenir Medium" w:hAnsi="Avenir Medium" w:cs="Avenir Medium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FBC"/>
    <w:pPr>
      <w:ind w:left="720"/>
      <w:contextualSpacing/>
    </w:pPr>
  </w:style>
  <w:style w:type="paragraph" w:customStyle="1" w:styleId="Default">
    <w:name w:val="Default"/>
    <w:rsid w:val="00F64FB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4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C"/>
    <w:rPr>
      <w:rFonts w:ascii="Avenir Book" w:eastAsia="Calibri" w:hAnsi="Avenir Book" w:cs="Calibri"/>
      <w:kern w:val="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4F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cine@hccs.edu" TargetMode="External"/><Relationship Id="rId13" Type="http://schemas.openxmlformats.org/officeDocument/2006/relationships/hyperlink" Target="https://www.hccs.edu/resources-for/current-students/testing-services/" TargetMode="External"/><Relationship Id="rId18" Type="http://schemas.openxmlformats.org/officeDocument/2006/relationships/hyperlink" Target="https://www.hccs.edu/applying-and-paying/virtual-lobby/" TargetMode="External"/><Relationship Id="rId26" Type="http://schemas.openxmlformats.org/officeDocument/2006/relationships/hyperlink" Target="https://www.hccs.edu/support-service/international-students/faq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ccs.edu/media/houston-community-college/international-students/pdfs/FLYWIRE-International-Students-Payment-Tutorial_Bursar_Revised.pdf" TargetMode="External"/><Relationship Id="rId7" Type="http://schemas.openxmlformats.org/officeDocument/2006/relationships/hyperlink" Target="https://www.hccs.edu/support-services/international-students/orientation/" TargetMode="External"/><Relationship Id="rId12" Type="http://schemas.openxmlformats.org/officeDocument/2006/relationships/hyperlink" Target="http://www.hccs.edu/virtual-lobby" TargetMode="External"/><Relationship Id="rId17" Type="http://schemas.openxmlformats.org/officeDocument/2006/relationships/hyperlink" Target="https://www.hccs.edu/locations/" TargetMode="External"/><Relationship Id="rId25" Type="http://schemas.openxmlformats.org/officeDocument/2006/relationships/hyperlink" Target="http://www.hccs.edu/support-services/international-students/orien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ccs.edu/continuing-education/departments/languages---ce-intensive-english-program/" TargetMode="External"/><Relationship Id="rId20" Type="http://schemas.openxmlformats.org/officeDocument/2006/relationships/hyperlink" Target="https://www.hccs.edu/media/houston-community-college/international-students/pdfs/10212019_Enrollment-Help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ltura.com/index.php/extwidget/preview/partner_id/124722/uiconf_id/24998082/entry_id/1_ig60t1tk/embed/dynamic?&amp;pslnkid=ADMN_S201910211613551237220374" TargetMode="External"/><Relationship Id="rId24" Type="http://schemas.openxmlformats.org/officeDocument/2006/relationships/hyperlink" Target="http://www.hccs.edu/support-services/international-students/health-insur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ccs.edu/resources-for/current-students/transcripts/" TargetMode="External"/><Relationship Id="rId23" Type="http://schemas.openxmlformats.org/officeDocument/2006/relationships/hyperlink" Target="https://www.hccs.edu/applying-and-paying/student-financial-services/make-installment-payments-over-tim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yeagle.hccs.edu" TargetMode="External"/><Relationship Id="rId19" Type="http://schemas.openxmlformats.org/officeDocument/2006/relationships/hyperlink" Target="https://www.kaltura.com/index.php/extwidget/preview/partner_id/124722/uiconf_id/24998082/entry_id/0_ev3ecpi6/embed/dynamic?&amp;pslnkid=ADMN_S201910210925467754753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cs.edu/applying-and-paying/meningitis/" TargetMode="External"/><Relationship Id="rId14" Type="http://schemas.openxmlformats.org/officeDocument/2006/relationships/hyperlink" Target="https://www.hccs.edu/support-services/international-students/foreign-credentials/" TargetMode="External"/><Relationship Id="rId22" Type="http://schemas.openxmlformats.org/officeDocument/2006/relationships/hyperlink" Target="https://www.hccs.edu/support-services/international-students/faq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990</Words>
  <Characters>5905</Characters>
  <Application>Microsoft Office Word</Application>
  <DocSecurity>0</DocSecurity>
  <Lines>109</Lines>
  <Paragraphs>37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kristalina.karsen</dc:creator>
  <cp:keywords/>
  <dc:description/>
  <cp:lastModifiedBy>kristalina.karsen</cp:lastModifiedBy>
  <cp:revision>2</cp:revision>
  <dcterms:created xsi:type="dcterms:W3CDTF">2024-10-29T15:33:00Z</dcterms:created>
  <dcterms:modified xsi:type="dcterms:W3CDTF">2024-10-29T15:33:00Z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eeba122d7ae6ffe09541ca0415c8d1813ede50d8fda5a0ce76ab62dd06c458fa</vt:lpwstr>
  </property>
</Properties>
</file>